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57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5113"/>
        <w:gridCol w:w="5143"/>
      </w:tblGrid>
      <w:tr>
        <w:trPr>
          <w:trHeight w:val="1401" w:hRule="atLeast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4"/>
              <w:numPr>
                <w:ilvl w:val="3"/>
                <w:numId w:val="2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Style w:val="Style13"/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 w:bidi="ar-SA"/>
              </w:rPr>
              <w:t>ОГЛАСОВАНО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ОМВД России  по Урицкому району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____________________________      </w:t>
            </w:r>
          </w:p>
          <w:p>
            <w:pPr>
              <w:pStyle w:val="4"/>
              <w:numPr>
                <w:ilvl w:val="3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numPr>
                <w:ilvl w:val="3"/>
                <w:numId w:val="2"/>
              </w:num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Style w:val="Style13"/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 w:bidi="ar-SA"/>
              </w:rPr>
              <w:t>ТВЕРЖДЕНО</w:t>
            </w:r>
          </w:p>
          <w:p>
            <w:pPr>
              <w:pStyle w:val="4"/>
              <w:numPr>
                <w:ilvl w:val="3"/>
                <w:numId w:val="2"/>
              </w:num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Директор МБОУ</w:t>
            </w:r>
          </w:p>
          <w:p>
            <w:pPr>
              <w:pStyle w:val="4"/>
              <w:numPr>
                <w:ilvl w:val="3"/>
                <w:numId w:val="2"/>
              </w:num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Муравлёвской СОШ</w:t>
            </w:r>
          </w:p>
          <w:p>
            <w:pPr>
              <w:pStyle w:val="Normal"/>
              <w:jc w:val="right"/>
              <w:rPr>
                <w:rStyle w:val="Style13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ru-RU"/>
              </w:rPr>
            </w:r>
          </w:p>
          <w:p>
            <w:pPr>
              <w:pStyle w:val="4"/>
              <w:numPr>
                <w:ilvl w:val="3"/>
                <w:numId w:val="2"/>
              </w:numPr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b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_______________В.В. Скукин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Приказ № 38 от 30.08.2023г.</w:t>
            </w:r>
          </w:p>
          <w:p>
            <w:pPr>
              <w:pStyle w:val="Normal"/>
              <w:jc w:val="right"/>
              <w:rPr>
                <w:rStyle w:val="Style13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ru-RU"/>
              </w:rPr>
            </w:r>
          </w:p>
        </w:tc>
      </w:tr>
    </w:tbl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>План</w:t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 xml:space="preserve">мероприятий по профилактике </w:t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>безнадзорности и правонарушений</w:t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  <w:t>несовершеннолетних в 2023-2024 учебном году.</w:t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Муравлёво 2023 год</w:t>
      </w:r>
      <w:r>
        <w:br w:type="page"/>
      </w:r>
    </w:p>
    <w:tbl>
      <w:tblPr>
        <w:tblW w:w="10689" w:type="dxa"/>
        <w:jc w:val="left"/>
        <w:tblInd w:w="-33" w:type="dxa"/>
        <w:tblCellMar>
          <w:top w:w="24" w:type="dxa"/>
          <w:left w:w="24" w:type="dxa"/>
          <w:bottom w:w="24" w:type="dxa"/>
          <w:right w:w="24" w:type="dxa"/>
        </w:tblCellMar>
        <w:tblLook w:val="04a0" w:noVBand="1" w:noHBand="0" w:lastColumn="0" w:firstColumn="1" w:lastRow="0" w:firstRow="1"/>
      </w:tblPr>
      <w:tblGrid>
        <w:gridCol w:w="501"/>
        <w:gridCol w:w="6785"/>
        <w:gridCol w:w="1161"/>
        <w:gridCol w:w="257"/>
        <w:gridCol w:w="1984"/>
      </w:tblGrid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pageBreakBefore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№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Сроки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ind w:right="17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Ответственные за исполнение</w:t>
            </w:r>
          </w:p>
        </w:tc>
      </w:tr>
      <w:tr>
        <w:trPr/>
        <w:tc>
          <w:tcPr>
            <w:tcW w:w="10688" w:type="dxa"/>
            <w:gridSpan w:val="5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работы по вовлечению несовершеннолетних, находящихся на профилактических учетах в продуктивную социально- 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деятельности школьной службы примирения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Педагог -организатор,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заседаний Совета профилактики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Этическая беседа «У воспитанных ребят все дела идут на лад» (1-2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Игровая программа «Чтобы не случилось беды» (1-2 кл.)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Интеллектуально- познавательная игра «Страна Закония» (1-2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Беседа- игра «Что такое хорошо, что такое плохо» (1-2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Классный час с элементами дискуссии «Нет преступления без наказания» (3-4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Беседа «Мы в ответе за свои поступки (3-4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Классный час «Профилактика школьная - наука достойная» (3-4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Беседа «Дисциплина и порядок – наши верные друзья» (3-4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Час общения «Уголовная ответственность несовершеннолетних» (5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-Час общения «Шалость. Злонамеренный поступок. Вандализм» (5-6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-Разъяснительная беседа «Как не стать жертвой преступления» (5-6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-Деловая игра «Закон на нашей земле» (5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-Классный час «Подросток и закон» (7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Деловая игра «Преступление и подросток» (7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Классный час «Остановись у преступной черты (7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Деловая игра «Разрешение конфликтов без насилия» (7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Разъяснительная беседа «Как противостоять влиянию подростковых антиобщественных группировок» (9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Разъяснительная беседа «Преступление и наказание» (9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Разъяснительная беседа «Проступок. Правонарушение. Преступление» (9-11кл.);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мероприятий, направленных на правовое просвещение несовершеннолетних, родителей: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Беседа-игра «Ребенок и закон» (1-4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Деловая игра «Права и обязанности несовершеннолетних» (5,7);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Разъяснительная беседа «Административная и уголовная ответственность несовершеннолетних» (9);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Родительские собрания: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«Об обеспечении защиты прав и законных интересов несовершеннолетних» (включение вопросов):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-контроль за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необходимости осуществления контроля за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  о недопущении случаев нахождения несовершеннолетних длительное время без присмотра;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о необходимости организации занятости детей во внеурочное время;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необходимости предупреждения употребления подростками наркотических веществ, алкогольных напитков.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необходимости незамедлительного обращения в ОВД с заявлением о розыске детей в случае их безвестного исчезновения;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формы занятости во внеурочное время;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цикла открытых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«Психологические особенности подростков»;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«Профилактика семейного неблагополучия и суицидального поведения детей и подростков»;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«Как защитить своего ребенка»;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«Как не попасть в беду»;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«Предотвращение суицидальных попыток».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профилактических мероприятий, направленных на организацию родительского всеобуча: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В школу без проблем! Что нужно знать родителям первоклассника (1кл.);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-Успешная адаптация ребенка к школе. Советы родителям первоклашки (1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-Психологические особенности детей младшего школьного возраста (2-3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-Ваш ребенок пятиклассник. Рекомендации для родителей в период адаптации учащихся 5 классов (5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-Агрессия у детей. Причины агрессии ее последствия (4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-Роль семьи в воспитании детей-подростков.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Как не потерять взаимное доверие в семье (5кл);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-Конфликты в подростковом возрасте. Современные проблемы родителей и подростков (7 кл.);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-Трудные дети: ошибки родителей. Как правильно строить отношения между родителями и детьми (9 кл.);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мероприятий с обучающимися и родителями в рамках месячника «Семья»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Апрель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Выпуск тематических буклетов для родителей: «Воспитание без наказания», «Психология общения»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Буклет для детей по профилактике жестокого обращения «Как избежать насилия»;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индивидуальные консультации и беседы с родителями и учащимися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Информирование родителей (законных представителей) о необходимости осуществления контроля за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Мониторинг   подписок учащихся в сети «Интернет»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Декабрь 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«Дня правовой помощи детям».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Линейка посвященная Всероссийскому дню правовой помощи детям. 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20 ноября 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785" w:type="dxa"/>
            <w:tcBorders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«Мир без конфронтаций. Учимся решать конфликты»; 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«Учимся жить в многоликом мире»;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Уроки права «Конституция РФ о межэтнических отношениях».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«Национальность без границ».</w:t>
            </w:r>
          </w:p>
        </w:tc>
        <w:tc>
          <w:tcPr>
            <w:tcW w:w="1418" w:type="dxa"/>
            <w:gridSpan w:val="2"/>
            <w:tcBorders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</w:tc>
        <w:tc>
          <w:tcPr>
            <w:tcW w:w="1984" w:type="dxa"/>
            <w:tcBorders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</w:t>
            </w:r>
          </w:p>
        </w:tc>
      </w:tr>
      <w:tr>
        <w:trPr>
          <w:trHeight w:val="3284" w:hRule="atLeast"/>
        </w:trPr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(буклеты, памятки, листовки и т.д.) и родителей (законных представителей) несовершеннолетних;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Организация и проведение социально-психологического тестирования обучающихся школы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Сентябрь-октябрь</w:t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мероприятий, посвященных Международному дню детского «Телефона доверия»: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 Организация работы ежедневной «Почты доверия»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-Размещение в на стендах школы информации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1418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Май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Сентябрь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10688" w:type="dxa"/>
            <w:gridSpan w:val="5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2. Мероприятия для педагогов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Старшая вожатая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0688" w:type="dxa"/>
            <w:gridSpan w:val="5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3. Информационное сопровождение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Размещение на стендах, сайте школы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Старшая вожатая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учебного года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Старшая вожатая, классные руководители</w:t>
            </w:r>
          </w:p>
        </w:tc>
      </w:tr>
      <w:tr>
        <w:trPr/>
        <w:tc>
          <w:tcPr>
            <w:tcW w:w="50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6785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161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 учебного года</w:t>
            </w:r>
          </w:p>
        </w:tc>
        <w:tc>
          <w:tcPr>
            <w:tcW w:w="2241" w:type="dxa"/>
            <w:gridSpan w:val="2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</w:t>
            </w:r>
          </w:p>
        </w:tc>
      </w:tr>
    </w:tbl>
    <w:p>
      <w:pPr>
        <w:pStyle w:val="Normal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textAlignment w:val="top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Составлен старшей вожатой Легостаевой Т.Ю.</w:t>
      </w:r>
    </w:p>
    <w:sectPr>
      <w:type w:val="nextPage"/>
      <w:pgSz w:w="11906" w:h="16838"/>
      <w:pgMar w:left="846" w:right="114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6</Pages>
  <Words>1301</Words>
  <Characters>9593</Characters>
  <CharactersWithSpaces>10763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2023-09-21T11:39:00Z</dcterms:created>
  <dc:creator/>
  <dc:description/>
  <dc:language>ru-RU</dc:language>
  <cp:lastModifiedBy/>
  <cp:lastPrinted>2023-09-21T11:47:00Z</cp:lastPrinted>
  <dcterms:modified xsi:type="dcterms:W3CDTF">2023-10-23T10:16:07Z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