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Spacing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cs="Times New Roman" w:ascii="Tinos" w:hAnsi="Tinos"/>
          <w:b/>
          <w:bCs/>
          <w:color w:val="000000" w:themeColor="text1"/>
          <w:sz w:val="28"/>
          <w:szCs w:val="28"/>
        </w:rPr>
        <w:t>Муравлёвская средняя общеобразовательная школа</w:t>
      </w:r>
    </w:p>
    <w:p>
      <w:pPr>
        <w:pStyle w:val="NoSpacing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000000" w:themeColor="text1"/>
          <w:sz w:val="28"/>
          <w:szCs w:val="28"/>
        </w:rPr>
        <w:t>Урицкого района Орловской области</w:t>
      </w:r>
    </w:p>
    <w:p>
      <w:pPr>
        <w:pStyle w:val="Normal"/>
        <w:bidi w:val="0"/>
        <w:jc w:val="left"/>
        <w:rPr/>
      </w:pPr>
      <w:r>
        <w:rPr/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93"/>
        <w:gridCol w:w="7392"/>
      </w:tblGrid>
      <w:tr>
        <w:trPr/>
        <w:tc>
          <w:tcPr>
            <w:tcW w:w="7393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309245" cy="309245"/>
                      <wp:effectExtent l="0" t="0" r="0" b="0"/>
                      <wp:docPr id="1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520" cy="30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Фигура1" stroked="f" style="position:absolute;margin-left:0pt;margin-top:-24.35pt;width:24.25pt;height:24.25pt;mso-position-vertical:top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3483610" cy="1607820"/>
                  <wp:effectExtent l="0" t="0" r="0" b="0"/>
                  <wp:docPr id="2" name="Рисунок 7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7042" r="1521" b="9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61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/>
            </w:pPr>
            <w:r>
              <w:rPr/>
            </w:r>
          </w:p>
          <w:tbl>
            <w:tblPr>
              <w:tblW w:w="6859" w:type="dxa"/>
              <w:jc w:val="righ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544"/>
              <w:gridCol w:w="3314"/>
            </w:tblGrid>
            <w:tr>
              <w:trPr>
                <w:trHeight w:val="2296" w:hRule="atLeast"/>
              </w:trPr>
              <w:tc>
                <w:tcPr>
                  <w:tcW w:w="3544" w:type="dxa"/>
                  <w:tcBorders/>
                </w:tcPr>
                <w:p>
                  <w:pPr>
                    <w:pStyle w:val="Normal"/>
                    <w:tabs>
                      <w:tab w:val="clear" w:pos="709"/>
                      <w:tab w:val="left" w:pos="630" w:leader="none"/>
                      <w:tab w:val="center" w:pos="1664" w:leader="none"/>
                    </w:tabs>
                    <w:bidi w:val="0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314" w:type="dxa"/>
                  <w:tcBorders/>
                </w:tcPr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____________ В.В. Скукин</w:t>
                  </w:r>
                </w:p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2"/>
                      <w:sz w:val="24"/>
                      <w:szCs w:val="24"/>
                      <w:lang w:val="ru-RU" w:eastAsia="zh-CN" w:bidi="hi-IN"/>
                    </w:rPr>
                    <w:t>38</w:t>
                  </w:r>
                </w:p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 xml:space="preserve">от 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2"/>
                      <w:sz w:val="24"/>
                      <w:szCs w:val="24"/>
                      <w:lang w:val="ru-RU" w:eastAsia="zh-CN" w:bidi="hi-IN"/>
                    </w:rPr>
                    <w:t>30</w: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.08.202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3</w: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>
                  <w:pPr>
                    <w:pStyle w:val="Normal"/>
                    <w:bidi w:val="0"/>
                    <w:spacing w:lineRule="auto" w:line="240" w:before="0" w:after="0"/>
                    <w:jc w:val="righ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bidi w:val="0"/>
              <w:spacing w:lineRule="auto" w:line="240" w:before="0" w:after="0"/>
              <w:jc w:val="right"/>
              <w:rPr/>
            </w:pPr>
            <w:r>
              <w:rPr/>
              <w:t xml:space="preserve">    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ц</w:t>
      </w:r>
      <w:r>
        <w:rPr>
          <w:rFonts w:cs="Times New Roman" w:ascii="Times New Roman" w:hAnsi="Times New Roman"/>
          <w:b/>
          <w:sz w:val="28"/>
          <w:szCs w:val="28"/>
        </w:rPr>
        <w:t>ентр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3-</w:t>
      </w:r>
      <w:r>
        <w:rPr>
          <w:rFonts w:cs="Times New Roman" w:ascii="Times New Roman" w:hAnsi="Times New Roman"/>
          <w:b/>
          <w:sz w:val="28"/>
          <w:szCs w:val="28"/>
        </w:rPr>
        <w:t>202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4 </w:t>
      </w:r>
      <w:r>
        <w:rPr>
          <w:rFonts w:cs="Times New Roman" w:ascii="Times New Roman" w:hAnsi="Times New Roman"/>
          <w:b/>
          <w:sz w:val="28"/>
          <w:szCs w:val="28"/>
        </w:rPr>
        <w:t>учебный год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1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9"/>
        <w:gridCol w:w="3693"/>
        <w:gridCol w:w="4762"/>
        <w:gridCol w:w="1993"/>
        <w:gridCol w:w="1557"/>
        <w:gridCol w:w="2395"/>
      </w:tblGrid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>
        <w:trPr/>
        <w:tc>
          <w:tcPr>
            <w:tcW w:w="15189" w:type="dxa"/>
            <w:gridSpan w:val="6"/>
            <w:tcBorders/>
          </w:tcPr>
          <w:p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1.1.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Руководитель центра Легостаева Т.Ю.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1.2.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Планирование работы  центра на 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-202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Составление и утверждение плана на 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-202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4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учебный год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Руководитель центра Легостаева Т.Ю.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1.3.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Лаврова Р.Н., Легостаева Т.Ю.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1.4.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Сентябрь 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Руководитель центра Легостаева Т.Ю.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, родители (законные представители)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1.5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Курсы внеурочной деятельности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В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Педагоги центра: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Лаврова Р.Н., Легостаева Т.Ю., Скукин В.В.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1.6.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В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Педагоги центра: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Лаврова Р.Н., Легостаева Т.Ю., Скукин В.В.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1.7.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Август-сентябрь 2022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Педагог -организатор Захарова Е.Г.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1.8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Семинар- практикум. Практика использования оборудования центра.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Май 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Руководитель центра Легостаева Т.Ю.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1.9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Педагоги школы, родители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Май 2024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Руководитель центра Легостаева Т.Ю.</w:t>
            </w:r>
          </w:p>
        </w:tc>
      </w:tr>
      <w:tr>
        <w:trPr/>
        <w:tc>
          <w:tcPr>
            <w:tcW w:w="15189" w:type="dxa"/>
            <w:gridSpan w:val="6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Учебно- воспитательные мероприятия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Педагоги 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Учителя- предметники, обучающиеся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Учителя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Учителя- предметники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Учителя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Неделя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Науки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Учителя- предметники, обучающиеся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1-8 февраля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Учителя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5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Участие в проекте «Урок цифры» </w:t>
            </w:r>
          </w:p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Участие в проекте «ПроеКТОриЯ»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5, 7, 9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классы 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Педагоги Центра, учитель информатики</w:t>
            </w:r>
          </w:p>
        </w:tc>
      </w:tr>
      <w:tr>
        <w:trPr/>
        <w:tc>
          <w:tcPr>
            <w:tcW w:w="15189" w:type="dxa"/>
            <w:gridSpan w:val="6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Воспитательная работа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Использование результата проекта «Шахматы в школу»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7,9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Сентябрь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Моисеев Л.Н.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Учитель информатики Захарова Е.Г.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«Топ-10 профессий будущего»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Медиапрезентация в зоне коворкинга для всей аудитории учебного заведения, имеет профориентационную направленность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Педагоги  центра, обучающиеся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 центра Скукин В.В.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центра Лаврова Р.Н.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8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Гагаринский урок «Космолаб»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5,7,9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 центра Легостаева Т.Ю.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7, 9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классы 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/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ль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Вклад ученых- естествоиспытателей в дело Победы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>
        <w:trPr>
          <w:trHeight w:val="300" w:hRule="atLeast"/>
        </w:trPr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>
        <w:trPr>
          <w:trHeight w:val="300" w:hRule="atLeast"/>
        </w:trPr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>
          <w:trHeight w:val="300" w:hRule="atLeast"/>
        </w:trPr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/>
        <w:tc>
          <w:tcPr>
            <w:tcW w:w="15189" w:type="dxa"/>
            <w:gridSpan w:val="6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Социокультурные мероприятия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3"/>
                <w:szCs w:val="23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val="en-US"/>
              </w:rPr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Презентация Центра для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сайта школы и страницы в ВК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Знакомство с работой Центр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а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«Точка роста»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Руководитель центра Легостаева Т.Ю.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Флешмоб «100% жизни»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Акция направленная на популяризацию здорового образа жизни. 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ноябрь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Педагог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и ц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Акция «Доброты много не бывает» 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Акция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по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реализация социально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му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волонтёрств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у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1-5, 7,9 классы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4.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Соц.сети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Руководитель центра Легостаева Т.Ю.</w:t>
            </w:r>
          </w:p>
        </w:tc>
      </w:tr>
      <w:tr>
        <w:trPr/>
        <w:tc>
          <w:tcPr>
            <w:tcW w:w="15189" w:type="dxa"/>
            <w:gridSpan w:val="6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5.1.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Участие во Всероссийской образовательной акции «ПроеКТОриЯ»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Обучающиеся </w:t>
            </w:r>
          </w:p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7, 9 классов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Руководитель и педагоги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5.2.</w:t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Знакомство с конкурсны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3"/>
                <w:szCs w:val="23"/>
                <w:lang w:val="ru-RU" w:eastAsia="ru-RU" w:bidi="ar-SA"/>
              </w:rPr>
              <w:t>ми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работами</w:t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Обучающиеся</w:t>
            </w:r>
          </w:p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7, 9 классов</w:t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Руководитель и педагоги центра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36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476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199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239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44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LibreOffice/6.4.7.2$Linux_X86_64 LibreOffice_project/40$Build-2</Application>
  <Pages>5</Pages>
  <Words>764</Words>
  <Characters>5381</Characters>
  <CharactersWithSpaces>5986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2023-08-15T10:06:20Z</dcterms:created>
  <dc:creator/>
  <dc:description/>
  <dc:language>ru-RU</dc:language>
  <cp:lastModifiedBy/>
  <dcterms:modified xsi:type="dcterms:W3CDTF">2023-10-12T10:55:34Z</dcterms:modified>
  <cp:revision>5</cp:revision>
  <dc:subject/>
  <dc:title/>
</cp:coreProperties>
</file>